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13D5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 w:ascii="宋体" w:hAnsi="宋体" w:eastAsia="宋体" w:cs="宋体"/>
          <w:color w:val="000000"/>
          <w:sz w:val="44"/>
          <w:szCs w:val="44"/>
        </w:rPr>
      </w:pPr>
      <w:r>
        <w:rPr>
          <w:rFonts w:hint="eastAsia" w:ascii="宋体" w:hAnsi="宋体" w:eastAsia="宋体" w:cs="宋体"/>
          <w:color w:val="000000"/>
          <w:sz w:val="44"/>
          <w:szCs w:val="44"/>
        </w:rPr>
        <w:t>长沙市第三社会福利院全院饮用水</w:t>
      </w:r>
    </w:p>
    <w:p w14:paraId="53DF55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 w:ascii="宋体" w:hAnsi="宋体" w:eastAsia="宋体" w:cs="宋体"/>
          <w:color w:val="000000"/>
          <w:sz w:val="44"/>
          <w:szCs w:val="44"/>
        </w:rPr>
      </w:pPr>
      <w:r>
        <w:rPr>
          <w:rFonts w:hint="eastAsia" w:ascii="宋体" w:hAnsi="宋体" w:eastAsia="宋体" w:cs="宋体"/>
          <w:color w:val="000000"/>
          <w:sz w:val="44"/>
          <w:szCs w:val="44"/>
        </w:rPr>
        <w:t>采购需求</w:t>
      </w:r>
    </w:p>
    <w:p w14:paraId="313E387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6F37E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 w14:paraId="426DC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采购单位：长沙市第三社会福利院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（长沙市第九医院、长沙精神病医院）</w:t>
      </w:r>
    </w:p>
    <w:p w14:paraId="37320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采购方式：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自行采购（自主询价）</w:t>
      </w:r>
    </w:p>
    <w:p w14:paraId="3277C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服务区域：总院、梅花分院两个院区，覆盖行政、门诊、后勤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及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15 个临床科室</w:t>
      </w:r>
    </w:p>
    <w:p w14:paraId="52E94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服务期限：12 个月</w:t>
      </w:r>
    </w:p>
    <w:p w14:paraId="7836F2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项目预算：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96000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，按实结算。</w:t>
      </w:r>
    </w:p>
    <w:p w14:paraId="2DEE0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资金来源：单位自筹</w:t>
      </w:r>
    </w:p>
    <w:p w14:paraId="74D8E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二、供应产品规格及要求</w:t>
      </w:r>
    </w:p>
    <w:p w14:paraId="14DF6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成交供应商须同时供应以下 4 类产品：</w:t>
      </w:r>
    </w:p>
    <w:p w14:paraId="714DA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大桶日常饮用水：18L±0.5L 食品级 PC 桶装水，全院职工日常饮用水；单价上限 15 元 / 桶。</w:t>
      </w:r>
    </w:p>
    <w:p w14:paraId="5B103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5L 小桶装水：5L±0.5L 桶装水，用于会议室、小型办公室、值班点少量使用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；单价上限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10元/桶。</w:t>
      </w:r>
    </w:p>
    <w:p w14:paraId="590F0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550ml 瓶装接待水：550ml±50ml / 瓶，24 瓶 / 箱，对外接待、会议使用。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单价上限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40元/箱。</w:t>
      </w:r>
    </w:p>
    <w:p w14:paraId="2D72A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380ml 瓶装接待水：380ml±50ml / 瓶，24 瓶 / 箱，小型会谈、窗口接待使用。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单价上限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30元/箱</w:t>
      </w:r>
    </w:p>
    <w:p w14:paraId="5F7BD6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b/>
          <w:bCs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243205</wp:posOffset>
                </wp:positionH>
                <wp:positionV relativeFrom="paragraph">
                  <wp:posOffset>118745</wp:posOffset>
                </wp:positionV>
                <wp:extent cx="127635" cy="146685"/>
                <wp:effectExtent l="9525" t="15875" r="15240" b="8890"/>
                <wp:wrapNone/>
                <wp:docPr id="1" name="等腰三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72565" y="1033145"/>
                          <a:ext cx="127635" cy="146685"/>
                        </a:xfrm>
                        <a:prstGeom prst="triangl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19.15pt;margin-top:9.35pt;height:11.55pt;width:10.05pt;z-index:251659264;v-text-anchor:middle;mso-width-relative:page;mso-height-relative:page;" fillcolor="#000000 [3213]" filled="t" stroked="t" coordsize="21600,21600" o:gfxdata="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cnySy1gAAAAcBAAAPAAAAAAAA&#10;AAEAIAAAACIAAABkcnMvZG93bnJldi54bWxQSwECFAAUAAAACACHTuJA91D/yYYCAAAMBQAADgAA&#10;AAAAAAABACAAAAAlAQAAZHJzL2Uyb0RvYy54bWxQSwUGAAAAAAYABgBZAQAAHQYAAAAA&#10;" adj="108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5.根据院方要求订制550ml和380ml瓶装水的文化标识。</w:t>
      </w:r>
    </w:p>
    <w:p w14:paraId="367444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三、产品质量要求</w:t>
      </w:r>
    </w:p>
    <w:p w14:paraId="680B1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产品符合《GB19298-2014 食品安全国家标准 包装饮用水》《GB8537-2018 饮用天然矿泉水》，标签合规、清晰标注水源、生产日期、保质期、厂家信息。</w:t>
      </w:r>
    </w:p>
    <w:p w14:paraId="1C24B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供应国内知名饮用水品牌，提供品牌授权经销证明，禁止杂牌、小作坊散装灌装水。</w:t>
      </w:r>
    </w:p>
    <w:p w14:paraId="0E2D3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水质检测资料： （1）投标时提供近 6 个月 CMA 资质第三方水质全项检测报告； （2）供货期间每批次随货附出厂自检合格单；每年至少提供 2 次第三方权威水质复检报告存档。</w:t>
      </w:r>
    </w:p>
    <w:p w14:paraId="6A2BB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桶 / 瓶包装要求： （1）18L周转桶为全新食品级 PC 材质，无开裂、长青苔、渗漏，供应商定期清洗、高温消毒并留存消毒台账； （2）桶装水密封防伪膜完整，无二次灌装痕迹；瓶装水无漏气、漏液、过期产品。</w:t>
      </w:r>
    </w:p>
    <w:p w14:paraId="6AE3E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四、配送要求</w:t>
      </w:r>
    </w:p>
    <w:p w14:paraId="69047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配送模式：按需下单、随叫随送，采购人办公室统一电话 / 微信报单，无需固定周期批量订水。</w:t>
      </w:r>
    </w:p>
    <w:p w14:paraId="2C35A9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响应时效：工作时间下单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小时内送达；夜间、节假日应急订单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小时内送达。</w:t>
      </w:r>
    </w:p>
    <w:p w14:paraId="4164E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配送范围：货物必须搬运至总院、梅花分院各科室指定饮水点位，不得仅送至院区大门口。</w:t>
      </w:r>
    </w:p>
    <w:p w14:paraId="6B1FF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空桶、空瓶管理：配送同步回收空桶、空瓶，统一消杀周转，院内不承担空桶保管、清洗费用。</w:t>
      </w:r>
    </w:p>
    <w:p w14:paraId="62F2E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库存保障：供应商需具备充足备货能力，保障院区高峰用水、大批量接待用水不间断供应。</w:t>
      </w:r>
    </w:p>
    <w:p w14:paraId="029FA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五、供应商要求</w:t>
      </w:r>
    </w:p>
    <w:p w14:paraId="643FBC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拥有自有配送车辆及专职配送团队，可同时覆盖总院、梅花分院两地配送。</w:t>
      </w:r>
    </w:p>
    <w:p w14:paraId="77E54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六、履约管理要求</w:t>
      </w:r>
    </w:p>
    <w:p w14:paraId="1EFB6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实行水票定额领用制度，按科室人数核定月度用水额度，供应商凭我院出具水票配送，同步做好配送台账登记。</w:t>
      </w:r>
    </w:p>
    <w:p w14:paraId="3FC1EA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若出现水质不合格、过期产品、配送超时、拒绝送货等情况，采购人有权拒收、扣除当月对应货款；累计 3 次违规可单方终止合同。</w:t>
      </w:r>
    </w:p>
    <w:p w14:paraId="0597B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七：结算方式</w:t>
      </w:r>
    </w:p>
    <w:p w14:paraId="327E6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合同生效之日起，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每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季度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双方核对上月配送明细、桶 / 箱数量，核对无误后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按实际数量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开票结算。</w:t>
      </w:r>
    </w:p>
    <w:p w14:paraId="320059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、其他说明</w:t>
      </w:r>
    </w:p>
    <w:p w14:paraId="1210EE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本项目不承诺固定采购总量，所有用水按实际配送数量结算；</w:t>
      </w:r>
    </w:p>
    <w:p w14:paraId="10528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2、投标人填报整体优惠率，统一适用于四种产品，按整体优惠率最低者成交；中标单价为全费用包干价，包含产品、运输、搬运、空桶回收、税费、售后服务等全部费用。 </w:t>
      </w:r>
    </w:p>
    <w:p w14:paraId="3B687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成交供应商须在合同签订 3 日内完成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两个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院区用水点位摸排，建立专属对接人 24 小时联系电话。</w:t>
      </w:r>
      <w:bookmarkStart w:id="0" w:name="_GoBack"/>
      <w:bookmarkEnd w:id="0"/>
    </w:p>
    <w:p w14:paraId="652A6DE3">
      <w:pPr>
        <w:rPr>
          <w:rFonts w:hint="eastAsia" w:ascii="仿宋" w:hAnsi="仿宋" w:eastAsia="仿宋" w:cs="仿宋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5F3709"/>
    <w:rsid w:val="149F4D92"/>
    <w:rsid w:val="16B32BF9"/>
    <w:rsid w:val="285B668B"/>
    <w:rsid w:val="305F3709"/>
    <w:rsid w:val="35DF31DF"/>
    <w:rsid w:val="39455658"/>
    <w:rsid w:val="3D72615D"/>
    <w:rsid w:val="3EE5603F"/>
    <w:rsid w:val="4C2E5524"/>
    <w:rsid w:val="5EF41C6E"/>
    <w:rsid w:val="6816646F"/>
    <w:rsid w:val="6D7F1297"/>
    <w:rsid w:val="7823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1211</Words>
  <Characters>1292</Characters>
  <Lines>0</Lines>
  <Paragraphs>0</Paragraphs>
  <TotalTime>22</TotalTime>
  <ScaleCrop>false</ScaleCrop>
  <LinksUpToDate>false</LinksUpToDate>
  <CharactersWithSpaces>1345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2026-07-22T03:47:00Z</dcterms:created>
  <dc:creator> 韵韵</dc:creator>
  <cp:lastModifiedBy>蓉蓉</cp:lastModifiedBy>
  <cp:lastPrinted>2026-08-03T09:25:00Z</cp:lastPrinted>
  <dcterms:modified xsi:type="dcterms:W3CDTF">2026-08-03T10:15:43Z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838155BF540248A0B9B3AA8FF81126B0_13</vt:lpwstr>
  </property>
  <property fmtid="{D5CDD505-2E9C-101B-9397-08002B2CF9AE}" pid="4" name="KSOTemplateDocerSaveRecord">
    <vt:lpwstr>eyJoZGlkIjoiNGNkYTEwNzQ3YmZlMzRmYjJlMWY2N2I1ODI3OTQxNjIiLCJ1c2VySWQiOiI0NTMzODg3MTcifQ==</vt:lpwstr>
  </property>
</Properties>
</file>