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FE34F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 w:ascii="宋体" w:hAnsi="宋体"/>
          <w:b/>
          <w:spacing w:val="30"/>
          <w:sz w:val="32"/>
          <w:szCs w:val="32"/>
          <w:u w:val="single"/>
          <w:lang w:val="en-US" w:eastAsia="zh-CN"/>
        </w:rPr>
        <w:t>2026年消防设备采购及灭火器换药</w:t>
      </w:r>
      <w:r>
        <w:rPr>
          <w:rFonts w:hint="eastAsia" w:ascii="宋体" w:hAnsi="宋体"/>
          <w:b/>
          <w:spacing w:val="30"/>
          <w:sz w:val="32"/>
          <w:szCs w:val="32"/>
        </w:rPr>
        <w:t>项目自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7A5BD873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069C4F2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</w:t>
      </w:r>
    </w:p>
    <w:tbl>
      <w:tblPr>
        <w:tblStyle w:val="1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720"/>
        <w:gridCol w:w="1710"/>
        <w:gridCol w:w="1968"/>
        <w:gridCol w:w="1114"/>
        <w:gridCol w:w="2105"/>
      </w:tblGrid>
      <w:tr w14:paraId="1E40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647" w:type="dxa"/>
            <w:tcBorders>
              <w:bottom w:val="single" w:color="auto" w:sz="4" w:space="0"/>
            </w:tcBorders>
            <w:noWrap w:val="0"/>
            <w:vAlign w:val="center"/>
          </w:tcPr>
          <w:p w14:paraId="7E25E4AC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720" w:type="dxa"/>
            <w:tcBorders>
              <w:bottom w:val="single" w:color="auto" w:sz="4" w:space="0"/>
            </w:tcBorders>
            <w:noWrap w:val="0"/>
            <w:vAlign w:val="center"/>
          </w:tcPr>
          <w:p w14:paraId="5050F55E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产品名称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 w14:paraId="39567491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参考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规格</w:t>
            </w:r>
            <w:r>
              <w:rPr>
                <w:rFonts w:hint="eastAsia" w:ascii="楷体_GB2312" w:eastAsia="楷体_GB2312"/>
                <w:sz w:val="24"/>
              </w:rPr>
              <w:t>型号</w:t>
            </w:r>
          </w:p>
        </w:tc>
        <w:tc>
          <w:tcPr>
            <w:tcW w:w="1968" w:type="dxa"/>
            <w:tcBorders>
              <w:bottom w:val="single" w:color="auto" w:sz="4" w:space="0"/>
            </w:tcBorders>
            <w:noWrap w:val="0"/>
            <w:vAlign w:val="center"/>
          </w:tcPr>
          <w:p w14:paraId="6E328E44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参考技术参数</w:t>
            </w:r>
          </w:p>
        </w:tc>
        <w:tc>
          <w:tcPr>
            <w:tcW w:w="1114" w:type="dxa"/>
            <w:tcBorders>
              <w:bottom w:val="nil"/>
            </w:tcBorders>
            <w:noWrap w:val="0"/>
            <w:vAlign w:val="center"/>
          </w:tcPr>
          <w:p w14:paraId="3D5A4725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数量</w:t>
            </w:r>
          </w:p>
        </w:tc>
        <w:tc>
          <w:tcPr>
            <w:tcW w:w="2105" w:type="dxa"/>
            <w:tcBorders>
              <w:bottom w:val="single" w:color="auto" w:sz="4" w:space="0"/>
            </w:tcBorders>
            <w:noWrap w:val="0"/>
            <w:vAlign w:val="center"/>
          </w:tcPr>
          <w:p w14:paraId="6D136D89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整体下浮率</w:t>
            </w:r>
          </w:p>
        </w:tc>
      </w:tr>
      <w:tr w14:paraId="21DB4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noWrap w:val="0"/>
            <w:vAlign w:val="center"/>
          </w:tcPr>
          <w:p w14:paraId="122CC2D2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</w:p>
        </w:tc>
        <w:tc>
          <w:tcPr>
            <w:tcW w:w="1720" w:type="dxa"/>
            <w:noWrap w:val="0"/>
            <w:vAlign w:val="top"/>
          </w:tcPr>
          <w:p w14:paraId="0830812B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2026年消防设备采购及灭火器换药项目</w:t>
            </w:r>
          </w:p>
        </w:tc>
        <w:tc>
          <w:tcPr>
            <w:tcW w:w="1710" w:type="dxa"/>
            <w:noWrap w:val="0"/>
            <w:vAlign w:val="center"/>
          </w:tcPr>
          <w:p w14:paraId="53CD087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见采购需求</w:t>
            </w:r>
          </w:p>
        </w:tc>
        <w:tc>
          <w:tcPr>
            <w:tcW w:w="1968" w:type="dxa"/>
            <w:noWrap w:val="0"/>
            <w:vAlign w:val="center"/>
          </w:tcPr>
          <w:p w14:paraId="3DD4063C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见采购需求</w:t>
            </w:r>
          </w:p>
        </w:tc>
        <w:tc>
          <w:tcPr>
            <w:tcW w:w="1114" w:type="dxa"/>
            <w:noWrap w:val="0"/>
            <w:vAlign w:val="center"/>
          </w:tcPr>
          <w:p w14:paraId="3E28D20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一项</w:t>
            </w:r>
          </w:p>
        </w:tc>
        <w:tc>
          <w:tcPr>
            <w:tcW w:w="2105" w:type="dxa"/>
            <w:noWrap w:val="0"/>
            <w:vAlign w:val="center"/>
          </w:tcPr>
          <w:p w14:paraId="730E4375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</w:p>
        </w:tc>
      </w:tr>
    </w:tbl>
    <w:p w14:paraId="06945F0F">
      <w:pPr>
        <w:rPr>
          <w:rFonts w:hint="eastAsia" w:ascii="楷体_GB2312" w:eastAsia="楷体_GB2312"/>
          <w:b/>
          <w:sz w:val="24"/>
        </w:rPr>
      </w:pPr>
    </w:p>
    <w:p w14:paraId="3E43F745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二、交货时间：</w:t>
      </w:r>
      <w:r>
        <w:rPr>
          <w:rFonts w:hint="eastAsia" w:ascii="楷体_GB2312" w:eastAsia="楷体_GB2312"/>
          <w:sz w:val="24"/>
          <w:u w:val="single"/>
        </w:rPr>
        <w:t xml:space="preserve">  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</w:rPr>
        <w:t>交货地点：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    </w:t>
      </w:r>
      <w:r>
        <w:rPr>
          <w:rFonts w:hint="eastAsia" w:ascii="楷体_GB2312" w:eastAsia="楷体_GB2312"/>
          <w:sz w:val="24"/>
          <w:u w:val="single"/>
        </w:rPr>
        <w:t xml:space="preserve">   </w:t>
      </w:r>
      <w:r>
        <w:rPr>
          <w:rFonts w:hint="eastAsia" w:ascii="楷体_GB2312" w:eastAsia="楷体_GB2312"/>
          <w:sz w:val="24"/>
        </w:rPr>
        <w:t>。</w:t>
      </w:r>
    </w:p>
    <w:p w14:paraId="4D9ED551">
      <w:pPr>
        <w:rPr>
          <w:rFonts w:hint="eastAsia" w:ascii="楷体_GB2312" w:eastAsia="楷体_GB2312"/>
          <w:sz w:val="24"/>
        </w:rPr>
      </w:pPr>
      <w:bookmarkStart w:id="0" w:name="_GoBack"/>
      <w:bookmarkEnd w:id="0"/>
    </w:p>
    <w:p w14:paraId="1E15206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3F80CA26">
      <w:pPr>
        <w:rPr>
          <w:rFonts w:hint="eastAsia" w:ascii="楷体_GB2312" w:eastAsia="楷体_GB2312"/>
          <w:sz w:val="24"/>
        </w:rPr>
      </w:pPr>
    </w:p>
    <w:p w14:paraId="780F6C8F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678C561D">
      <w:pPr>
        <w:rPr>
          <w:rFonts w:hint="eastAsia" w:ascii="楷体_GB2312" w:eastAsia="楷体_GB2312"/>
          <w:sz w:val="24"/>
        </w:rPr>
      </w:pPr>
    </w:p>
    <w:p w14:paraId="7E5F5D7E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 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授权代表（签字）：</w:t>
      </w:r>
    </w:p>
    <w:p w14:paraId="1C4CD5A6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4E309F15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3383DE48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7A835274">
      <w:pPr>
        <w:numPr>
          <w:ilvl w:val="0"/>
          <w:numId w:val="1"/>
        </w:numPr>
        <w:spacing w:line="360" w:lineRule="exact"/>
        <w:rPr>
          <w:rFonts w:hint="eastAsia" w:ascii="楷体_GB2312" w:eastAsia="楷体_GB2312"/>
          <w:b/>
          <w:bCs/>
          <w:color w:val="auto"/>
          <w:sz w:val="24"/>
        </w:rPr>
      </w:pPr>
      <w:r>
        <w:rPr>
          <w:rFonts w:hint="eastAsia" w:ascii="楷体_GB2312" w:eastAsia="楷体_GB2312"/>
          <w:b/>
          <w:bCs/>
          <w:color w:val="auto"/>
          <w:sz w:val="24"/>
        </w:rPr>
        <w:t>按照符合需求、质量和服务相等，以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报下浮率</w:t>
      </w:r>
      <w:r>
        <w:rPr>
          <w:rFonts w:hint="eastAsia" w:ascii="楷体_GB2312" w:eastAsia="楷体_GB2312"/>
          <w:b/>
          <w:bCs/>
          <w:color w:val="auto"/>
          <w:sz w:val="24"/>
        </w:rPr>
        <w:t>最低者为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b/>
          <w:bCs/>
          <w:color w:val="auto"/>
          <w:sz w:val="24"/>
        </w:rPr>
        <w:t>人；报同品牌型号且报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下浮率</w:t>
      </w:r>
      <w:r>
        <w:rPr>
          <w:rFonts w:hint="eastAsia" w:ascii="楷体_GB2312" w:eastAsia="楷体_GB2312"/>
          <w:b/>
          <w:bCs/>
          <w:color w:val="auto"/>
          <w:sz w:val="24"/>
        </w:rPr>
        <w:t>相同的，则通过抽签方式确定。</w:t>
      </w:r>
    </w:p>
    <w:p w14:paraId="721B6551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sz w:val="24"/>
        </w:rPr>
        <w:t>、采购人发给各供应商的询价函须打印，且内容须一致。</w:t>
      </w:r>
    </w:p>
    <w:p w14:paraId="23D163BD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7E949418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416676F3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刘女士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304A9419"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2CEDA9C3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C7BFA7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6B199F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50783F9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0EAB7DA">
      <w:pPr>
        <w:pStyle w:val="2"/>
        <w:rPr>
          <w:rFonts w:hint="eastAsia" w:ascii="黑体" w:hAnsi="华文中宋" w:eastAsia="黑体"/>
          <w:bCs/>
          <w:sz w:val="24"/>
        </w:rPr>
      </w:pPr>
    </w:p>
    <w:p w14:paraId="370AFBE5">
      <w:pPr>
        <w:rPr>
          <w:rFonts w:hint="eastAsia" w:ascii="黑体" w:hAnsi="华文中宋" w:eastAsia="黑体"/>
          <w:bCs/>
          <w:sz w:val="24"/>
        </w:rPr>
      </w:pPr>
    </w:p>
    <w:p w14:paraId="057D6D58">
      <w:pPr>
        <w:pStyle w:val="2"/>
        <w:rPr>
          <w:rFonts w:hint="eastAsia" w:ascii="黑体" w:hAnsi="华文中宋" w:eastAsia="黑体"/>
          <w:bCs/>
          <w:sz w:val="24"/>
        </w:rPr>
      </w:pPr>
    </w:p>
    <w:p w14:paraId="028EC1CF">
      <w:pPr>
        <w:pStyle w:val="2"/>
        <w:rPr>
          <w:rFonts w:hint="eastAsia"/>
        </w:rPr>
      </w:pPr>
    </w:p>
    <w:p w14:paraId="4CA073A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3E9D798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67ADB4D8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411394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069B11F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084F08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5407654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7C2A55D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47FAFAD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1EC7B0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8678D6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92D41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48262AD2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E53483D">
      <w:pPr>
        <w:snapToGrid w:val="0"/>
        <w:rPr>
          <w:rFonts w:hint="eastAsia" w:ascii="宋体" w:hAnsi="宋体"/>
          <w:szCs w:val="21"/>
        </w:rPr>
      </w:pPr>
    </w:p>
    <w:p w14:paraId="65D0DDB4">
      <w:pPr>
        <w:snapToGrid w:val="0"/>
        <w:rPr>
          <w:rFonts w:hint="eastAsia" w:ascii="宋体" w:hAnsi="宋体"/>
          <w:szCs w:val="21"/>
        </w:rPr>
      </w:pPr>
    </w:p>
    <w:p w14:paraId="3004F418">
      <w:pPr>
        <w:snapToGrid w:val="0"/>
        <w:rPr>
          <w:rFonts w:hint="eastAsia" w:ascii="宋体" w:hAnsi="宋体"/>
          <w:szCs w:val="21"/>
        </w:rPr>
      </w:pPr>
    </w:p>
    <w:p w14:paraId="5D7565C4">
      <w:pPr>
        <w:snapToGrid w:val="0"/>
        <w:rPr>
          <w:rFonts w:hint="eastAsia" w:ascii="宋体" w:hAnsi="宋体"/>
          <w:szCs w:val="21"/>
        </w:rPr>
      </w:pPr>
    </w:p>
    <w:p w14:paraId="0F707350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3854C9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140EE7C6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393F289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17EE82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D6186A4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1400F4F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2FD3D5C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46A320A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827DC41">
      <w:pPr>
        <w:pStyle w:val="2"/>
      </w:pPr>
    </w:p>
    <w:p w14:paraId="676ED61F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2D60C73B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39EA4472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36AED5AA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1D6B31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9FCD5A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25A19E7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07141B0F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6575EC3A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41682228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F94F2E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D2724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1736AB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8F1891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F3D0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B9E26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790F0B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79549B3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7385EFB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2C4CD9CA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4C17362B">
      <w:pPr>
        <w:spacing w:line="360" w:lineRule="exact"/>
        <w:rPr>
          <w:rFonts w:hint="eastAsia" w:ascii="宋体"/>
          <w:b/>
        </w:rPr>
      </w:pPr>
    </w:p>
    <w:p w14:paraId="077EAD93">
      <w:pPr>
        <w:spacing w:line="360" w:lineRule="exact"/>
        <w:rPr>
          <w:rFonts w:hint="eastAsia" w:ascii="宋体"/>
          <w:b/>
        </w:rPr>
      </w:pPr>
    </w:p>
    <w:p w14:paraId="4515DDA4">
      <w:pPr>
        <w:spacing w:line="360" w:lineRule="exact"/>
        <w:rPr>
          <w:rFonts w:hint="eastAsia" w:ascii="宋体"/>
          <w:b/>
        </w:rPr>
      </w:pPr>
    </w:p>
    <w:p w14:paraId="695D181C">
      <w:pPr>
        <w:spacing w:line="360" w:lineRule="exact"/>
        <w:rPr>
          <w:rFonts w:hint="eastAsia" w:ascii="宋体"/>
          <w:b/>
        </w:rPr>
      </w:pPr>
    </w:p>
    <w:p w14:paraId="32F35F2F"/>
    <w:p w14:paraId="7173E303">
      <w:pPr>
        <w:pStyle w:val="18"/>
      </w:pPr>
    </w:p>
    <w:p w14:paraId="48AADA88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D9C9CF6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932C2">
    <w:pPr>
      <w:pStyle w:val="7"/>
      <w:framePr w:wrap="around" w:vAnchor="text" w:hAnchor="margin" w:xAlign="right" w:y="1"/>
      <w:rPr>
        <w:rStyle w:val="13"/>
      </w:rPr>
    </w:pPr>
  </w:p>
  <w:p w14:paraId="17043165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5328D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C6FEC7A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0697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535657"/>
    <w:rsid w:val="0B4F7C90"/>
    <w:rsid w:val="0C2B77A1"/>
    <w:rsid w:val="0C9602E3"/>
    <w:rsid w:val="0F603996"/>
    <w:rsid w:val="10D86BA0"/>
    <w:rsid w:val="11111A18"/>
    <w:rsid w:val="11FF42C5"/>
    <w:rsid w:val="12931B79"/>
    <w:rsid w:val="134D0C0E"/>
    <w:rsid w:val="15500910"/>
    <w:rsid w:val="15505E84"/>
    <w:rsid w:val="16183758"/>
    <w:rsid w:val="17F46FF5"/>
    <w:rsid w:val="1A35470E"/>
    <w:rsid w:val="1AED42E7"/>
    <w:rsid w:val="1BFC48E3"/>
    <w:rsid w:val="212C077A"/>
    <w:rsid w:val="222505AE"/>
    <w:rsid w:val="22C243E0"/>
    <w:rsid w:val="23F6664F"/>
    <w:rsid w:val="26D15B5C"/>
    <w:rsid w:val="27041D5A"/>
    <w:rsid w:val="2AC645EB"/>
    <w:rsid w:val="2E2D4C49"/>
    <w:rsid w:val="31CA1B9C"/>
    <w:rsid w:val="34993F04"/>
    <w:rsid w:val="37391698"/>
    <w:rsid w:val="38035729"/>
    <w:rsid w:val="3A6025BF"/>
    <w:rsid w:val="3AAD01EE"/>
    <w:rsid w:val="413C3E1B"/>
    <w:rsid w:val="42074CE7"/>
    <w:rsid w:val="4302780E"/>
    <w:rsid w:val="458C0EB8"/>
    <w:rsid w:val="47441A7A"/>
    <w:rsid w:val="49B238E6"/>
    <w:rsid w:val="49DA2DA5"/>
    <w:rsid w:val="4FAB7B52"/>
    <w:rsid w:val="54682796"/>
    <w:rsid w:val="59514097"/>
    <w:rsid w:val="59B910F8"/>
    <w:rsid w:val="60AF5CF6"/>
    <w:rsid w:val="64877D60"/>
    <w:rsid w:val="64B4245F"/>
    <w:rsid w:val="64C735CE"/>
    <w:rsid w:val="650409E9"/>
    <w:rsid w:val="65CD2C45"/>
    <w:rsid w:val="66D165FA"/>
    <w:rsid w:val="68E251BD"/>
    <w:rsid w:val="6A492AFB"/>
    <w:rsid w:val="6D12240E"/>
    <w:rsid w:val="6E1C5968"/>
    <w:rsid w:val="70B659D3"/>
    <w:rsid w:val="71054702"/>
    <w:rsid w:val="71E719C4"/>
    <w:rsid w:val="75256108"/>
    <w:rsid w:val="75A211F6"/>
    <w:rsid w:val="75D65D87"/>
    <w:rsid w:val="76B916CF"/>
    <w:rsid w:val="76E14762"/>
    <w:rsid w:val="771D1BC7"/>
    <w:rsid w:val="77450779"/>
    <w:rsid w:val="78451AC4"/>
    <w:rsid w:val="786E3745"/>
    <w:rsid w:val="7AFB6D6E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uiPriority w:val="0"/>
    <w:rPr>
      <w:rFonts w:ascii="宋体" w:hAnsi="宋体"/>
      <w:sz w:val="30"/>
      <w:szCs w:val="20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semiHidden/>
    <w:qFormat/>
    <w:uiPriority w:val="0"/>
    <w:rPr>
      <w:sz w:val="21"/>
      <w:szCs w:val="21"/>
    </w:rPr>
  </w:style>
  <w:style w:type="paragraph" w:customStyle="1" w:styleId="17">
    <w:name w:val="列出段落11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3</Pages>
  <Words>833</Words>
  <Characters>859</Characters>
  <Lines>15</Lines>
  <Paragraphs>4</Paragraphs>
  <TotalTime>8</TotalTime>
  <ScaleCrop>false</ScaleCrop>
  <LinksUpToDate>false</LinksUpToDate>
  <CharactersWithSpaces>1589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2026-05-19T01:46:00Z</cp:lastPrinted>
  <dcterms:modified xsi:type="dcterms:W3CDTF">2026-05-28T08:16:01Z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9159C6A965514B4CBD3398CDFF68C1D9_13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