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609B7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2026年度法律顾问服务项目采购需求</w:t>
      </w:r>
    </w:p>
    <w:p w14:paraId="203480B6">
      <w:pPr>
        <w:rPr>
          <w:rFonts w:hint="eastAsia" w:ascii="仿宋" w:hAnsi="仿宋" w:eastAsia="仿宋" w:cs="仿宋"/>
          <w:sz w:val="32"/>
          <w:szCs w:val="32"/>
        </w:rPr>
      </w:pPr>
    </w:p>
    <w:p w14:paraId="11261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一、采购项目名称、预算、资金来源</w:t>
      </w:r>
    </w:p>
    <w:p w14:paraId="3FB6E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项目名称：2026年度法律顾问服务项目</w:t>
      </w:r>
    </w:p>
    <w:p w14:paraId="1CCB3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项目预算：8.5万元</w:t>
      </w:r>
    </w:p>
    <w:p w14:paraId="617AD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资金来源：单位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自筹</w:t>
      </w:r>
      <w:bookmarkStart w:id="0" w:name="_GoBack"/>
      <w:bookmarkEnd w:id="0"/>
    </w:p>
    <w:p w14:paraId="64E10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二、项目概况及主要数据</w:t>
      </w:r>
    </w:p>
    <w:p w14:paraId="311DD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服务对象：长沙市第三社会福利院（第九医院）及其所属科室、部门。</w:t>
      </w:r>
    </w:p>
    <w:p w14:paraId="1F7FD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服务类型：常年法律顾问服务，涵盖日常法律咨询、合同审查、重大决策论证、纠纷前期处理、法律培训、下病房走访、合同台账管理、合同模板制定等。</w:t>
      </w:r>
    </w:p>
    <w:p w14:paraId="4F78F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免费诉讼服务：每年免费代理涉诉金额50万元以下的案件2件（包括经济纠纷、医疗纠纷、劳务纠纷等）。超出部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分按湖南省律师服务收费行业标准给予优惠折扣。</w:t>
      </w:r>
    </w:p>
    <w:p w14:paraId="57531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三、服务承包范围</w:t>
      </w:r>
    </w:p>
    <w:p w14:paraId="7ED89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供应商须全面负责本项目的法律服务，包括但不限于：</w:t>
      </w:r>
    </w:p>
    <w:p w14:paraId="5D707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常规合规法律咨询与风险防控；</w:t>
      </w:r>
    </w:p>
    <w:p w14:paraId="2AD2C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重大决策、会议、谈判、项目策划等现场法律支持；</w:t>
      </w:r>
    </w:p>
    <w:p w14:paraId="1D7D7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每周半天现场坐班服务；</w:t>
      </w:r>
    </w:p>
    <w:p w14:paraId="5EF1F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合同、制度、招投标文件的审查修改及模板制定；</w:t>
      </w:r>
    </w:p>
    <w:p w14:paraId="1A289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法律培训（每年2-3次）及领导班子专题法律实务讲座（每年1次）；</w:t>
      </w:r>
    </w:p>
    <w:p w14:paraId="678FB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每季度下病房走访，了解一线法律需求；</w:t>
      </w:r>
    </w:p>
    <w:p w14:paraId="41772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sz w:val="32"/>
          <w:szCs w:val="32"/>
        </w:rPr>
        <w:t>涉法涉诉、信访、突发事件的前期法律服务及律师函等文书出具；</w:t>
      </w:r>
    </w:p>
    <w:p w14:paraId="277C0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sz w:val="32"/>
          <w:szCs w:val="32"/>
        </w:rPr>
        <w:t>经济合同到期提醒与台账管理；</w:t>
      </w:r>
    </w:p>
    <w:p w14:paraId="0A5AB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 w:cs="仿宋"/>
          <w:sz w:val="32"/>
          <w:szCs w:val="32"/>
        </w:rPr>
        <w:t>其他诉讼/非诉事务的优惠代理。</w:t>
      </w:r>
    </w:p>
    <w:p w14:paraId="259A7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四、服务要求、质量及标准</w:t>
      </w:r>
    </w:p>
    <w:p w14:paraId="0C61F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人员配备要求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12E1C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组建不少于3人的法律服务团队，其中团队核心成员须执业满3年，具有类似单位（如医院、福利机构）法律服务经验。（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投标时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需提供合同、聘书等证明）。</w:t>
      </w:r>
    </w:p>
    <w:p w14:paraId="6EF54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指派1名固定联络人，负责日常对接与紧急事务响应。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（投标时需提供响应电话、联系人姓名）</w:t>
      </w:r>
    </w:p>
    <w:p w14:paraId="3E4BC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服务质量标准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</w:p>
    <w:p w14:paraId="7DAD5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法律咨询应在收到问题后1个工作日内出具初步意见，复杂问题不超过3个工作日。</w:t>
      </w:r>
    </w:p>
    <w:p w14:paraId="33C6A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合同审查应在收到文本后2个工作日内完成并出具书面修改意见。</w:t>
      </w:r>
    </w:p>
    <w:p w14:paraId="4203C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紧急事务（如突发纠纷、重大突发事件）应在2小时内响应，必要时到场协助。</w:t>
      </w:r>
    </w:p>
    <w:p w14:paraId="58B14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每季度向采购人提交法律服务工作报告，内容包括：坐班记录、合同审查统计、走访反馈、风险提示等。</w:t>
      </w:r>
    </w:p>
    <w:p w14:paraId="465EE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每年服务期满前出具《年度法律风险评估报告》及《合同履行情况分析报告》。</w:t>
      </w:r>
    </w:p>
    <w:p w14:paraId="4F2C2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坐班及现场服务要求</w:t>
      </w:r>
    </w:p>
    <w:p w14:paraId="665BA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每周固定半天（具体时间由双方协商确定）到采购人指定地点提供</w:t>
      </w:r>
      <w:r>
        <w:rPr>
          <w:rFonts w:hint="eastAsia" w:ascii="仿宋" w:hAnsi="仿宋" w:eastAsia="仿宋" w:cs="仿宋"/>
          <w:sz w:val="32"/>
          <w:szCs w:val="32"/>
        </w:rPr>
        <w:t>现场法律咨询。</w:t>
      </w:r>
    </w:p>
    <w:p w14:paraId="31ACA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根据采购人需要参加或列席会议、谈判、案件讨论等，不计额外费用。</w:t>
      </w:r>
    </w:p>
    <w:p w14:paraId="3B3DA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sz w:val="32"/>
          <w:szCs w:val="32"/>
        </w:rPr>
        <w:t>培训与走访要求</w:t>
      </w:r>
    </w:p>
    <w:p w14:paraId="61EF1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每年至少开展2次面向全院职工的法律知识培训，1次面向领导班子的专题法律实务讲座。</w:t>
      </w:r>
    </w:p>
    <w:p w14:paraId="103EC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每季度至少组织1次下病房走访，形成走访记录及法律需求反馈表。</w:t>
      </w:r>
    </w:p>
    <w:p w14:paraId="6F6CB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合同管理要求</w:t>
      </w:r>
    </w:p>
    <w:p w14:paraId="2A161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协助建立经济合同电子台账，对合同到期前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日、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日、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日分别提醒业务部门及职能科室。</w:t>
      </w:r>
    </w:p>
    <w:p w14:paraId="4A393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根据采购人业务需求，系统梳理并制定不少于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类常用合同标准化模板，附使用说明，并根据法规变化及时更新。</w:t>
      </w:r>
    </w:p>
    <w:p w14:paraId="47107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五、工期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、验收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标准</w:t>
      </w:r>
    </w:p>
    <w:p w14:paraId="7A600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服务期限：12个月。</w:t>
      </w:r>
    </w:p>
    <w:p w14:paraId="12C6C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季度验收：每季度结束后10个工作日内，供应商提交季度服务报告，采购人依据服务响应时效、工作质量、满意度等进行考核。</w:t>
      </w:r>
    </w:p>
    <w:p w14:paraId="29D7A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年度验收：服务期满后15个工作日内，供应商提交年度总结报告及风险评估报告，采购人组织综合验收。</w:t>
      </w:r>
    </w:p>
    <w:p w14:paraId="41346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验收标准：供应商完全履行合同约定的各项服务内容，无重大违约或服务质量问题；</w:t>
      </w:r>
    </w:p>
    <w:p w14:paraId="36F1F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季度考核平均分不低于85分（满分100分）；</w:t>
      </w:r>
    </w:p>
    <w:p w14:paraId="2738E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所有交付成果（报告、合同模板、台账等）符合法律规范及采购人实际需求。</w:t>
      </w:r>
    </w:p>
    <w:p w14:paraId="03422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六、支付方式</w:t>
      </w:r>
    </w:p>
    <w:p w14:paraId="68C9D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付款周期：按季度支付，每季度服务完成后支付一次。</w:t>
      </w:r>
    </w:p>
    <w:p w14:paraId="24274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付款金额：每季度支付合同总金额的25%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经采购人季度验收合格后15个工作日内支付该季度费用。</w:t>
      </w:r>
    </w:p>
    <w:p w14:paraId="3DDD0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支付条件：供应商须提供合法有效的增值税普通发票。如季度验收不合格，采购人有权暂停支付并要求供应商限期整改，整改合格后再行支付。</w:t>
      </w:r>
    </w:p>
    <w:p w14:paraId="022A3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免费案件代理费用：免费代理的案件不涉及额外支付；超出免费件数的案件，按双方另行签订的委托代理合同及优惠折扣结算，不纳入本年度顾问费支付范围。</w:t>
      </w:r>
    </w:p>
    <w:p w14:paraId="32280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七、保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密条款</w:t>
      </w:r>
    </w:p>
    <w:p w14:paraId="32B94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供应商及其服务人员对在服务过程中知悉的采购人所有信息（包括但不限于患者隐私、经营数据、内部文件等）承担永久保密义务，不得泄露或用于本合同以外的任何目的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</w:t>
      </w:r>
    </w:p>
    <w:p w14:paraId="6D3B0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供应商及其指派的所有服务人员须与采购人签订《保密承诺书》，承诺不泄露服务过程中接触的任何非公开信息。</w:t>
      </w:r>
    </w:p>
    <w:p w14:paraId="39D38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因泄露信息造成采购人损失的，供应商承担全部赔偿责任，且采购人有权单方解除合同并追究法律责任。</w:t>
      </w:r>
    </w:p>
    <w:p w14:paraId="59C9E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DB8212A">
      <w:pPr>
        <w:rPr>
          <w:rFonts w:hint="eastAsia" w:ascii="仿宋" w:hAnsi="仿宋" w:eastAsia="仿宋" w:cs="仿宋"/>
          <w:sz w:val="32"/>
          <w:szCs w:val="32"/>
        </w:rPr>
      </w:pPr>
    </w:p>
    <w:p w14:paraId="7E5B7B2B">
      <w:pPr>
        <w:rPr>
          <w:rFonts w:hint="eastAsia" w:ascii="仿宋" w:hAnsi="仿宋" w:eastAsia="仿宋" w:cs="仿宋"/>
          <w:sz w:val="32"/>
          <w:szCs w:val="32"/>
        </w:rPr>
      </w:pPr>
    </w:p>
    <w:p w14:paraId="5E8D60FD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B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paragraph" w:styleId="3">
    <w:name w:val="heading 4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1283</Words>
  <Characters>1299</Characters>
  <Paragraphs>62</Paragraphs>
  <TotalTime>5</TotalTime>
  <ScaleCrop>false</ScaleCrop>
  <LinksUpToDate>false</LinksUpToDate>
  <CharactersWithSpaces>1299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2026-04-13T07:31:00Z</dcterms:created>
  <dc:creator>韵韵</dc:creator>
  <cp:lastModifiedBy>刘文</cp:lastModifiedBy>
  <cp:lastPrinted>2026-04-15T02:05:00Z</cp:lastPrinted>
  <dcterms:modified xsi:type="dcterms:W3CDTF">2026-04-21T11:49:32Z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A2229F5EBB9640E29545AD0F466BDDBA_13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