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 w:cs="Times New Roman"/>
          <w:b/>
          <w:bCs/>
          <w:sz w:val="44"/>
          <w:szCs w:val="44"/>
        </w:rPr>
      </w:pPr>
      <w:r>
        <w:rPr>
          <w:rFonts w:hint="eastAsia" w:eastAsia="宋体" w:cs="Times New Roman"/>
          <w:b/>
          <w:bCs/>
          <w:sz w:val="44"/>
          <w:szCs w:val="44"/>
          <w:lang w:eastAsia="zh-CN"/>
        </w:rPr>
        <w:t>房屋结构性安全检测服务</w:t>
      </w:r>
      <w:r>
        <w:rPr>
          <w:rFonts w:hint="eastAsia" w:eastAsia="宋体" w:cs="Times New Roman"/>
          <w:b/>
          <w:bCs/>
          <w:sz w:val="44"/>
          <w:szCs w:val="44"/>
        </w:rPr>
        <w:t>采购需求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/>
          <w:b w:val="0"/>
          <w:bCs w:val="0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0" w:lineRule="atLeast"/>
        <w:ind w:leftChars="20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一、服务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范围、内容与要求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范围：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老年医疗中心、精神科楼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4号楼及宿舍区垃圾站的房屋结构性安全检测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按照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提供的技术资料和要求为基础开展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房屋结构性安全检测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，内容为：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（1）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资料收集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（2）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房屋结构性安全检测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（3）出具房屋结构性安全检测报告。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3、质量要求：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保证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检测过程符合国家检测标准，检测报告真实有效。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、基础资料及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成果提交清单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应向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提供的基础资料及协作事项如下：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（1）基础资料清单：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所需要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完成的任务，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应尽可能提供完善资料给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，以方便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开展工作。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）本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履行完毕后，前述基础资料由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提供的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应均退还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在收到基础资料后应立即检查签收。如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认为基础资料不符合要求或不一致，应向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说明理由，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应重新提供。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确认且接收资料后，则视为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资料已提供完全。在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过程中，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发现资料或方案出现问题，则应由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及时提出并且提出合理解决方案。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4、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向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提交以下文件清单如下：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190"/>
        <w:gridCol w:w="873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提交内容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数量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1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30"/>
                <w:szCs w:val="30"/>
                <w:lang w:eastAsia="zh-CN"/>
              </w:rPr>
              <w:t>老年医疗中心房屋结构性安全检测报告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文本+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U盘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2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  <w:t>精神科楼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4号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30"/>
                <w:szCs w:val="30"/>
                <w:lang w:eastAsia="zh-CN"/>
              </w:rPr>
              <w:t>房屋结构性安全检测报告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文本+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U盘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3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  <w:t>宿舍区垃圾站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30"/>
                <w:szCs w:val="30"/>
                <w:lang w:eastAsia="zh-CN"/>
              </w:rPr>
              <w:t>房屋结构性安全检测报告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5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文本+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U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、付款条件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供应商内容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全部完成，文件交付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2、以上费用含税，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需开具等值增值税普通发票。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、验收标准和方法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负责按照要求组织召开评审会或组织相应的技术审查，评审会或者相应技术审查阶段即为成果验收阶段。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根据评审会意见或相应技术审查意见进行调整完善后，按照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的规范要求提交最终成果的纸质和电子版（该最终成果应经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书面确认），经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验收合格后即视为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验收合格。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时间、地点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时间：总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周期为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地点：采购人指定的地点。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3、服务方式：按检测范围和要求开展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各阶段服务进度应满足采购人进度要求，具体实施中再根据采购人批准计划落实。总的进度要求以满足采购人要求为原则。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六、响应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文件有关内容，必须对本章提出的所有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采购需求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进行具体的响应和承诺。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0" w:lineRule="atLeas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D06A5"/>
    <w:multiLevelType w:val="singleLevel"/>
    <w:tmpl w:val="77ED06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TI1YzRlYTM0NGU3M2ViNmI1YmQ1ZTJlY2E4ZDgifQ=="/>
  </w:docVars>
  <w:rsids>
    <w:rsidRoot w:val="00A94F46"/>
    <w:rsid w:val="000227C7"/>
    <w:rsid w:val="0005024C"/>
    <w:rsid w:val="00075089"/>
    <w:rsid w:val="0012752A"/>
    <w:rsid w:val="00154E81"/>
    <w:rsid w:val="001838BF"/>
    <w:rsid w:val="002025BD"/>
    <w:rsid w:val="002A7021"/>
    <w:rsid w:val="003649A7"/>
    <w:rsid w:val="0039549F"/>
    <w:rsid w:val="00446572"/>
    <w:rsid w:val="004F6233"/>
    <w:rsid w:val="005408C9"/>
    <w:rsid w:val="006160D6"/>
    <w:rsid w:val="00707E95"/>
    <w:rsid w:val="007D19F5"/>
    <w:rsid w:val="007D581C"/>
    <w:rsid w:val="007E2D1C"/>
    <w:rsid w:val="008E2CCB"/>
    <w:rsid w:val="009E3588"/>
    <w:rsid w:val="00A94F46"/>
    <w:rsid w:val="00AD7F95"/>
    <w:rsid w:val="00BC5494"/>
    <w:rsid w:val="00C04E71"/>
    <w:rsid w:val="00C51FCC"/>
    <w:rsid w:val="00DB49DA"/>
    <w:rsid w:val="00ED00FB"/>
    <w:rsid w:val="00EE5619"/>
    <w:rsid w:val="00EF4426"/>
    <w:rsid w:val="00FA0C0F"/>
    <w:rsid w:val="03CC4219"/>
    <w:rsid w:val="05D3625B"/>
    <w:rsid w:val="06FF15C4"/>
    <w:rsid w:val="07B6613D"/>
    <w:rsid w:val="0B3B0A7B"/>
    <w:rsid w:val="109F6220"/>
    <w:rsid w:val="14923CBB"/>
    <w:rsid w:val="1BB65B86"/>
    <w:rsid w:val="35852A67"/>
    <w:rsid w:val="365B7FD8"/>
    <w:rsid w:val="3D346147"/>
    <w:rsid w:val="41BA40D4"/>
    <w:rsid w:val="533A2906"/>
    <w:rsid w:val="5A5F73F9"/>
    <w:rsid w:val="5C9D087A"/>
    <w:rsid w:val="61932B55"/>
    <w:rsid w:val="62B07A33"/>
    <w:rsid w:val="77870998"/>
    <w:rsid w:val="791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1202</Words>
  <Characters>1214</Characters>
  <Lines>9</Lines>
  <Paragraphs>2</Paragraphs>
  <TotalTime>3</TotalTime>
  <ScaleCrop>false</ScaleCrop>
  <LinksUpToDate>false</LinksUpToDate>
  <CharactersWithSpaces>1219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2022-02-17T08:19:00Z</dcterms:created>
  <dc:creator>wh</dc:creator>
  <cp:lastModifiedBy>刘文</cp:lastModifiedBy>
  <cp:lastPrinted>2023-11-07T03:03:00Z</cp:lastPrinted>
  <dcterms:modified xsi:type="dcterms:W3CDTF">2023-11-07T11:31:41Z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6996306963AC4E88A4558C32030D6E90_13</vt:lpwstr>
  </property>
</Properties>
</file>