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  <w:tab w:val="left" w:pos="9345"/>
          <w:tab w:val="left" w:pos="9765"/>
        </w:tabs>
        <w:adjustRightInd w:val="0"/>
        <w:snapToGrid w:val="0"/>
        <w:spacing w:beforeLines="50" w:line="360" w:lineRule="auto"/>
        <w:ind w:right="384" w:rightChars="183"/>
        <w:jc w:val="center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黑体" w:hAnsi="华文中宋" w:eastAsia="黑体"/>
          <w:bCs/>
          <w:sz w:val="44"/>
          <w:szCs w:val="44"/>
          <w:highlight w:val="none"/>
        </w:rPr>
        <w:t>采购需求</w:t>
      </w:r>
    </w:p>
    <w:p>
      <w:pPr>
        <w:spacing w:line="360" w:lineRule="auto"/>
        <w:rPr>
          <w:rFonts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一、项目名称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固定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资产清查服务采购项目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宋体" w:hAnsi="宋体"/>
          <w:b/>
          <w:sz w:val="28"/>
          <w:szCs w:val="28"/>
          <w:highlight w:val="none"/>
        </w:rPr>
        <w:t>项目概况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为进一步规范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我院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固定资产管理，提高资产使用效率，准确掌握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我院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国有资产的占有、使用情况，全面核查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我院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各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部门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历年来因机构调整和人员变动而未按程序移交和报废的固定资产</w:t>
      </w:r>
      <w:r>
        <w:rPr>
          <w:rFonts w:hint="eastAsia" w:ascii="宋体" w:hAnsi="宋体" w:cs="宋体"/>
          <w:bCs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批量处置已超过使用年限且无法继续使用的资产。将组织对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我院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管理的所有国有固定资产（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资产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系统内</w:t>
      </w:r>
      <w:r>
        <w:rPr>
          <w:rFonts w:hint="eastAsia" w:ascii="宋体" w:hAnsi="宋体" w:cs="宋体"/>
          <w:bCs/>
          <w:sz w:val="24"/>
          <w:szCs w:val="24"/>
          <w:highlight w:val="none"/>
          <w:lang w:val="en-US" w:eastAsia="zh-CN"/>
        </w:rPr>
        <w:t>1万5千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余件资产卡片）开展一次全面清查盘点。</w:t>
      </w:r>
    </w:p>
    <w:p>
      <w:pPr>
        <w:spacing w:line="360" w:lineRule="auto"/>
        <w:rPr>
          <w:rFonts w:hint="eastAsia" w:ascii="宋体" w:hAnsi="宋体"/>
          <w:b/>
          <w:sz w:val="28"/>
          <w:szCs w:val="28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三、项目预算（元人民币）</w:t>
      </w:r>
    </w:p>
    <w:tbl>
      <w:tblPr>
        <w:tblStyle w:val="10"/>
        <w:tblW w:w="5114" w:type="pct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184"/>
        <w:gridCol w:w="1305"/>
        <w:gridCol w:w="3493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42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val="en-US" w:eastAsia="zh-CN"/>
              </w:rPr>
              <w:t>序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82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7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003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采购项目预算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421" w:type="pc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26" w:type="pc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  <w:lang w:eastAsia="zh-CN"/>
              </w:rPr>
              <w:t>固定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资产清查服务</w:t>
            </w:r>
          </w:p>
        </w:tc>
        <w:tc>
          <w:tcPr>
            <w:tcW w:w="748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1批</w:t>
            </w:r>
          </w:p>
        </w:tc>
        <w:tc>
          <w:tcPr>
            <w:tcW w:w="2003" w:type="pc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80000.00元</w:t>
            </w:r>
          </w:p>
        </w:tc>
      </w:tr>
    </w:tbl>
    <w:p>
      <w:pPr>
        <w:rPr>
          <w:rFonts w:hint="eastAsia" w:ascii="宋体" w:hAnsi="宋体"/>
          <w:b/>
          <w:sz w:val="24"/>
          <w:szCs w:val="24"/>
          <w:highlight w:val="none"/>
        </w:rPr>
      </w:pPr>
    </w:p>
    <w:p>
      <w:pPr>
        <w:spacing w:line="360" w:lineRule="auto"/>
        <w:rPr>
          <w:rFonts w:hint="eastAsia"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/>
          <w:b/>
          <w:sz w:val="28"/>
          <w:szCs w:val="28"/>
          <w:highlight w:val="none"/>
        </w:rPr>
        <w:t>四、采购服务内容</w:t>
      </w:r>
      <w:r>
        <w:rPr>
          <w:rFonts w:hint="eastAsia" w:ascii="宋体" w:hAnsi="宋体"/>
          <w:b/>
          <w:sz w:val="28"/>
          <w:szCs w:val="28"/>
          <w:highlight w:val="none"/>
          <w:lang w:eastAsia="zh-CN"/>
        </w:rPr>
        <w:t>及标准</w:t>
      </w:r>
      <w:r>
        <w:rPr>
          <w:rFonts w:hint="eastAsia" w:ascii="宋体" w:hAnsi="宋体"/>
          <w:b/>
          <w:sz w:val="28"/>
          <w:szCs w:val="28"/>
          <w:highlight w:val="none"/>
        </w:rPr>
        <w:t>、清查流程及各阶段任务分解表</w:t>
      </w:r>
    </w:p>
    <w:p>
      <w:pPr>
        <w:spacing w:line="360" w:lineRule="auto"/>
        <w:jc w:val="left"/>
        <w:rPr>
          <w:rFonts w:hint="eastAsia" w:ascii="宋体" w:hAnsi="宋体" w:cs="宋体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Cs/>
          <w:sz w:val="24"/>
          <w:szCs w:val="24"/>
          <w:highlight w:val="none"/>
        </w:rPr>
        <w:t>（一）采购服务内容</w:t>
      </w:r>
    </w:p>
    <w:tbl>
      <w:tblPr>
        <w:tblStyle w:val="10"/>
        <w:tblpPr w:leftFromText="180" w:rightFromText="180" w:vertAnchor="text" w:horzAnchor="page" w:tblpX="1697" w:tblpY="450"/>
        <w:tblOverlap w:val="never"/>
        <w:tblW w:w="88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3"/>
        <w:gridCol w:w="4816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23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采购服务名称</w:t>
            </w:r>
          </w:p>
        </w:tc>
        <w:tc>
          <w:tcPr>
            <w:tcW w:w="481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服务内容及标准</w:t>
            </w:r>
          </w:p>
        </w:tc>
        <w:tc>
          <w:tcPr>
            <w:tcW w:w="194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资产清查服务</w:t>
            </w:r>
          </w:p>
        </w:tc>
        <w:tc>
          <w:tcPr>
            <w:tcW w:w="4816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1、按照单位房屋情况逐栋逐层逐间对资产进行实物盘点，登记记录资产来源，分类对使用所属部门、具体使用人、品牌、规格型号、资产编号进行重新认定与注明，并罗列资产位置清单。</w:t>
            </w:r>
          </w:p>
        </w:tc>
        <w:tc>
          <w:tcPr>
            <w:tcW w:w="1940" w:type="dxa"/>
            <w:vMerge w:val="restart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此次清查数量包含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长沙市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行政事业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资产管理信息系统已录入的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资产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（具体数量以实际清查数量为准）。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23" w:type="dxa"/>
            <w:vMerge w:val="continue"/>
            <w:noWrap/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4816" w:type="dxa"/>
            <w:noWrap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清查对账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盘点数据对照账务数据出具盘盈表、盘亏表、正常资产以及待报废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资产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1940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3" w:type="dxa"/>
            <w:vMerge w:val="continue"/>
            <w:noWrap/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4816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、根据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清查对账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结果，修改重录资产系统中的资产信息数据，保证资产使用人、所属部门、所在位置、规格型号、品牌、入账日期、价值、资产编号等信息准确，确保账账相符、账实相符。</w:t>
            </w:r>
          </w:p>
        </w:tc>
        <w:tc>
          <w:tcPr>
            <w:tcW w:w="1940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2123" w:type="dxa"/>
            <w:vMerge w:val="continue"/>
            <w:noWrap/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4816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、根据固定资产条码管理粘贴规范要求，对所有资产进行重新粘贴条码。并在资产清查过程中形成的资产盘点表、确认表、盘亏盘盈表等资料交由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甲方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留存。</w:t>
            </w:r>
          </w:p>
        </w:tc>
        <w:tc>
          <w:tcPr>
            <w:tcW w:w="1940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23" w:type="dxa"/>
            <w:vMerge w:val="continue"/>
            <w:noWrap/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4816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、资产清查结束后，出具详细资产清查报告。</w:t>
            </w:r>
          </w:p>
        </w:tc>
        <w:tc>
          <w:tcPr>
            <w:tcW w:w="1940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23" w:type="dxa"/>
            <w:vMerge w:val="continue"/>
            <w:noWrap/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4816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、根据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长沙市财政局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关于资产处置的相关文件要求，对在清查过程中已经达到使用报废年限资产进行统计与处置。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协助甲方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整理处置资产所需要的相关资料。</w:t>
            </w:r>
          </w:p>
        </w:tc>
        <w:tc>
          <w:tcPr>
            <w:tcW w:w="1940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2123" w:type="dxa"/>
            <w:vMerge w:val="continue"/>
            <w:noWrap/>
            <w:vAlign w:val="center"/>
          </w:tcPr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4816" w:type="dxa"/>
            <w:noWrap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、对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甲方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相关资产管理人员进行培训，系统性讲解业务操作流程及使用规范。</w:t>
            </w:r>
          </w:p>
        </w:tc>
        <w:tc>
          <w:tcPr>
            <w:tcW w:w="1940" w:type="dxa"/>
            <w:vMerge w:val="continue"/>
            <w:noWrap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</w:tbl>
    <w:p>
      <w:pPr>
        <w:spacing w:line="600" w:lineRule="exact"/>
        <w:rPr>
          <w:rFonts w:hint="default" w:ascii="宋体" w:hAnsi="宋体" w:eastAsia="宋体"/>
          <w:b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</w:rPr>
        <w:t>注：</w:t>
      </w:r>
      <w:r>
        <w:rPr>
          <w:rFonts w:hint="eastAsia" w:ascii="宋体" w:hAnsi="宋体" w:cs="宋体"/>
          <w:sz w:val="24"/>
          <w:szCs w:val="24"/>
          <w:highlight w:val="none"/>
        </w:rPr>
        <w:t>表格中“服务内容及标准”是参照资产清查流程内容制定，如在实际操作中有异议或变动，经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宋体" w:hAnsi="宋体" w:cs="宋体"/>
          <w:sz w:val="24"/>
          <w:szCs w:val="24"/>
          <w:highlight w:val="none"/>
        </w:rPr>
        <w:t>方同意后按照实际情况实施，报价需符合实际情况。报价包括人工、标签耗材、税金等全部费用，因报价不全面造成的投标损失，由投标方自行负责。</w:t>
      </w:r>
      <w:r>
        <w:rPr>
          <w:rFonts w:hint="eastAsia" w:ascii="宋体" w:hAnsi="宋体" w:cs="宋体"/>
          <w:sz w:val="24"/>
          <w:szCs w:val="24"/>
          <w:highlight w:val="none"/>
          <w:lang w:val="en-US" w:eastAsia="zh-CN"/>
        </w:rPr>
        <w:t>提供2022和2023年进行过资产清查相关合同2份或以上。</w:t>
      </w:r>
    </w:p>
    <w:p>
      <w:pPr>
        <w:spacing w:line="360" w:lineRule="auto"/>
        <w:jc w:val="left"/>
        <w:rPr>
          <w:rFonts w:ascii="宋体" w:hAnsi="宋体" w:cs="宋体"/>
          <w:b w:val="0"/>
          <w:bCs/>
          <w:sz w:val="24"/>
          <w:szCs w:val="24"/>
          <w:highlight w:val="none"/>
        </w:rPr>
      </w:pPr>
      <w:r>
        <w:rPr>
          <w:rFonts w:hint="eastAsia" w:ascii="宋体" w:hAnsi="宋体" w:cs="宋体"/>
          <w:b w:val="0"/>
          <w:bCs/>
          <w:sz w:val="24"/>
          <w:szCs w:val="24"/>
          <w:highlight w:val="none"/>
        </w:rPr>
        <w:t>（二）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>清查流程及各阶段任务分解表</w:t>
      </w:r>
    </w:p>
    <w:p>
      <w:pPr>
        <w:rPr>
          <w:sz w:val="24"/>
          <w:szCs w:val="24"/>
          <w:highlight w:val="none"/>
        </w:rPr>
      </w:pPr>
    </w:p>
    <w:p>
      <w:pPr>
        <w:rPr>
          <w:sz w:val="24"/>
          <w:szCs w:val="24"/>
          <w:highlight w:val="none"/>
        </w:rPr>
      </w:pPr>
    </w:p>
    <w:tbl>
      <w:tblPr>
        <w:tblStyle w:val="10"/>
        <w:tblpPr w:leftFromText="180" w:rightFromText="180" w:vertAnchor="text" w:horzAnchor="page" w:tblpX="1619" w:tblpY="-403"/>
        <w:tblOverlap w:val="never"/>
        <w:tblW w:w="8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3"/>
        <w:gridCol w:w="5660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工作阶段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highlight w:val="none"/>
              </w:rPr>
              <w:t>任务分解（包括但不限于以下相关工作任务）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FF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前期准备阶段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与单位负责人沟通，了解单位资产构成情况，准备资产清查表格并打印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实物盘点阶段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设备类资产盘点记录品牌、型号、出厂日期，家具类记录规格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清查对账阶段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盘点数据对照账务数据出具盘盈表、盘亏表、正常资产以及待报废等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负责人（盘盈、盘亏）调整确认阶段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盘点结果与单位协商调整，最终出具一份确认好的表格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资产系统修改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将确认后的盘点数据按照财政6大类整理后做模板导入资产系统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因财务内网系统每天都需要使用，不提供内网电脑，必须中标单位自行解决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提供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承诺函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条码粘贴阶段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从资产系统中打印条码，对于已经盘查完毕的资产进行粘贴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收尾阶段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清查结束后，给单位出具一份清查结果，让单位对本单位资产构成情况以及相关问题有所了解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资产处置阶段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根据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长沙市财政局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关于资产处置的相关文件要求，对在清查过程中已经达到使用报废年限资产进行统计与处置。整理处置资产所需要的相关资料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及资产报废，甲方只负责协助。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中标方与财政资产处进行沟通、协调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1" w:firstLineChars="10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提供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承诺函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</w:trPr>
        <w:tc>
          <w:tcPr>
            <w:tcW w:w="207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培训阶段</w:t>
            </w:r>
          </w:p>
        </w:tc>
        <w:tc>
          <w:tcPr>
            <w:tcW w:w="56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</w:rPr>
              <w:t>对单位资产管理员进行培训，讲解系统业务操作</w:t>
            </w:r>
          </w:p>
        </w:tc>
        <w:tc>
          <w:tcPr>
            <w:tcW w:w="117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widowControl/>
        <w:jc w:val="both"/>
        <w:textAlignment w:val="center"/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  <w:lang w:val="en-US" w:eastAsia="zh-CN"/>
        </w:rPr>
        <w:t>五、</w:t>
      </w:r>
      <w:r>
        <w:rPr>
          <w:rFonts w:hint="eastAsia" w:ascii="宋体" w:hAnsi="宋体" w:cs="宋体"/>
          <w:b/>
          <w:bCs/>
          <w:kern w:val="0"/>
          <w:sz w:val="28"/>
          <w:szCs w:val="28"/>
          <w:highlight w:val="none"/>
        </w:rPr>
        <w:t>付款方式</w:t>
      </w:r>
    </w:p>
    <w:p>
      <w:pPr>
        <w:widowControl/>
        <w:jc w:val="both"/>
        <w:textAlignment w:val="center"/>
        <w:rPr>
          <w:rFonts w:hint="eastAsia" w:ascii="宋体" w:hAnsi="宋体" w:cs="宋体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（1）付款人：</w:t>
      </w:r>
      <w:r>
        <w:rPr>
          <w:rFonts w:hint="eastAsia" w:ascii="宋体" w:hAnsi="宋体" w:cs="宋体"/>
          <w:bCs/>
          <w:sz w:val="24"/>
          <w:szCs w:val="24"/>
          <w:highlight w:val="none"/>
        </w:rPr>
        <w:t>长沙市第三社会福利院（长沙市第九医院、长沙市精神病医院）</w:t>
      </w:r>
    </w:p>
    <w:p>
      <w:pPr>
        <w:widowControl/>
        <w:jc w:val="center"/>
        <w:textAlignment w:val="center"/>
        <w:rPr>
          <w:rFonts w:hint="default" w:ascii="宋体" w:hAnsi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highlight w:val="none"/>
        </w:rPr>
        <w:t>（2）付款方式：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清查工作结束</w:t>
      </w:r>
      <w:r>
        <w:rPr>
          <w:rFonts w:hint="eastAsia" w:ascii="宋体" w:hAnsi="宋体" w:cs="宋体"/>
          <w:kern w:val="0"/>
          <w:sz w:val="24"/>
          <w:szCs w:val="24"/>
          <w:highlight w:val="none"/>
        </w:rPr>
        <w:t>验收合格后三十工作日内，</w:t>
      </w:r>
      <w:r>
        <w:rPr>
          <w:rFonts w:hint="eastAsia" w:ascii="宋体" w:hAnsi="宋体" w:cs="宋体"/>
          <w:kern w:val="0"/>
          <w:sz w:val="24"/>
          <w:szCs w:val="24"/>
          <w:highlight w:val="none"/>
          <w:lang w:val="en-US" w:eastAsia="zh-CN"/>
        </w:rPr>
        <w:t>一次性支付合同款。</w:t>
      </w:r>
    </w:p>
    <w:p>
      <w:pPr>
        <w:pStyle w:val="4"/>
        <w:rPr>
          <w:rFonts w:hint="eastAsia" w:eastAsia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lYTI1YzRlYTM0NGU3M2ViNmI1YmQ1ZTJlY2E4ZDgifQ=="/>
  </w:docVars>
  <w:rsids>
    <w:rsidRoot w:val="00000000"/>
    <w:rsid w:val="01017684"/>
    <w:rsid w:val="02AB0128"/>
    <w:rsid w:val="0D5729E0"/>
    <w:rsid w:val="19D272D8"/>
    <w:rsid w:val="1CFB1E67"/>
    <w:rsid w:val="30E3452C"/>
    <w:rsid w:val="37255669"/>
    <w:rsid w:val="3D127F47"/>
    <w:rsid w:val="47A3011A"/>
    <w:rsid w:val="49804BB7"/>
    <w:rsid w:val="4E1A0EC8"/>
    <w:rsid w:val="4FBE64A1"/>
    <w:rsid w:val="511D38DE"/>
    <w:rsid w:val="5E9B33E6"/>
    <w:rsid w:val="61646714"/>
    <w:rsid w:val="621526DC"/>
    <w:rsid w:val="632B5B70"/>
    <w:rsid w:val="67AB0D28"/>
    <w:rsid w:val="6F6F5123"/>
    <w:rsid w:val="71121CE9"/>
    <w:rsid w:val="73E64BAF"/>
    <w:rsid w:val="76D17D1B"/>
    <w:rsid w:val="7C24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/>
      <w:b/>
      <w:bCs/>
      <w:kern w:val="0"/>
      <w:sz w:val="24"/>
      <w:szCs w:val="20"/>
    </w:rPr>
  </w:style>
  <w:style w:type="paragraph" w:styleId="4">
    <w:name w:val="heading 6"/>
    <w:basedOn w:val="1"/>
    <w:next w:val="1"/>
    <w:qFormat/>
    <w:uiPriority w:val="0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hAnsi="Arial" w:eastAsia="黑体"/>
      <w:b/>
      <w:bCs/>
      <w:kern w:val="0"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5">
    <w:name w:val="annotation text"/>
    <w:basedOn w:val="1"/>
    <w:next w:val="1"/>
    <w:semiHidden/>
    <w:qFormat/>
    <w:uiPriority w:val="0"/>
    <w:pPr>
      <w:jc w:val="left"/>
    </w:pPr>
    <w:rPr>
      <w:rFonts w:ascii="Times New Roman" w:hAnsi="Times New Roman"/>
      <w:kern w:val="0"/>
      <w:sz w:val="20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ascii="Times New Roman" w:hAnsi="Times New Roman"/>
      <w:kern w:val="0"/>
      <w:sz w:val="20"/>
    </w:rPr>
  </w:style>
  <w:style w:type="paragraph" w:styleId="7">
    <w:name w:val="Body Text Indent"/>
    <w:basedOn w:val="1"/>
    <w:next w:val="8"/>
    <w:qFormat/>
    <w:uiPriority w:val="0"/>
    <w:pPr>
      <w:spacing w:after="120"/>
      <w:ind w:left="420" w:leftChars="200"/>
    </w:pPr>
    <w:rPr>
      <w:rFonts w:ascii="Times New Roman" w:hAnsi="Times New Roman"/>
      <w:kern w:val="0"/>
      <w:sz w:val="20"/>
    </w:rPr>
  </w:style>
  <w:style w:type="paragraph" w:styleId="8">
    <w:name w:val="annotation subject"/>
    <w:basedOn w:val="5"/>
    <w:next w:val="1"/>
    <w:qFormat/>
    <w:uiPriority w:val="0"/>
    <w:rPr>
      <w:b/>
      <w:bCs/>
    </w:rPr>
  </w:style>
  <w:style w:type="paragraph" w:styleId="9">
    <w:name w:val="Body Text First Indent 2"/>
    <w:basedOn w:val="7"/>
    <w:next w:val="1"/>
    <w:qFormat/>
    <w:uiPriority w:val="99"/>
    <w:pPr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1341</Words>
  <Characters>1350</Characters>
  <Lines>0</Lines>
  <Paragraphs>0</Paragraphs>
  <TotalTime>8</TotalTime>
  <ScaleCrop>false</ScaleCrop>
  <LinksUpToDate>false</LinksUpToDate>
  <CharactersWithSpaces>1350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2023-06-05T12:57:00Z</dcterms:created>
  <dc:creator>Administrator.DESKTOP-JHRAKDR</dc:creator>
  <cp:lastModifiedBy>刘文</cp:lastModifiedBy>
  <cp:lastPrinted>2023-07-07T03:31:00Z</cp:lastPrinted>
  <dcterms:modified xsi:type="dcterms:W3CDTF">2023-07-31T08:06:57Z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ED0B66E659A748D9ACC40D05934F7642_12</vt:lpwstr>
  </property>
</Properties>
</file>